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395" w:firstLine="2"/>
        <w:jc w:val="both"/>
        <w:spacing w:after="0" w:line="240" w:lineRule="auto"/>
        <w:rPr>
          <w:rFonts w:ascii="Times New Roman" w:hAnsi="Times New Roman" w:eastAsia="Times New Roman" w:cs="Tahoma"/>
          <w:sz w:val="20"/>
          <w:szCs w:val="20"/>
          <w:highlight w:val="none"/>
          <w:lang w:eastAsia="ru-RU"/>
        </w:rPr>
      </w:pP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Приложение 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3</w:t>
      </w:r>
      <w:r>
        <w:rPr>
          <w:rFonts w:ascii="Times New Roman" w:hAnsi="Times New Roman" w:eastAsia="Times New Roman" w:cs="Tahoma"/>
          <w:sz w:val="20"/>
          <w:szCs w:val="20"/>
          <w:highlight w:val="none"/>
          <w:lang w:eastAsia="ru-RU"/>
        </w:rPr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</w:p>
    <w:p>
      <w:pPr>
        <w:pStyle w:val="852"/>
        <w:ind w:left="4395" w:firstLine="2"/>
        <w:jc w:val="both"/>
        <w:spacing w:after="0" w:line="240" w:lineRule="auto"/>
        <w:rPr>
          <w:rFonts w:ascii="Times New Roman" w:hAnsi="Times New Roman" w:eastAsia="Times New Roman" w:cs="Tahoma"/>
          <w:sz w:val="20"/>
          <w:szCs w:val="20"/>
          <w:lang w:eastAsia="ru-RU"/>
        </w:rPr>
      </w:pP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к 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Условиям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интернет-эквайрингового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</w:p>
    <w:p>
      <w:pPr>
        <w:pStyle w:val="852"/>
        <w:ind w:left="4395" w:firstLine="2"/>
        <w:jc w:val="both"/>
        <w:spacing w:after="0" w:line="240" w:lineRule="auto"/>
        <w:rPr>
          <w:rFonts w:ascii="Times New Roman" w:hAnsi="Times New Roman" w:eastAsia="Times New Roman" w:cs="Tahoma"/>
          <w:sz w:val="20"/>
          <w:szCs w:val="20"/>
          <w:lang w:eastAsia="ru-RU"/>
        </w:rPr>
      </w:pP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обслуживания клиентов АО «Россельхозбанк»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</w:p>
    <w:p>
      <w:pPr>
        <w:pStyle w:val="852"/>
        <w:ind w:left="4395" w:firstLine="2"/>
        <w:jc w:val="both"/>
        <w:spacing w:after="0" w:line="240" w:lineRule="auto"/>
        <w:rPr>
          <w:rFonts w:ascii="Times New Roman" w:hAnsi="Times New Roman" w:eastAsia="Times New Roman" w:cs="Tahoma"/>
          <w:sz w:val="20"/>
          <w:szCs w:val="20"/>
          <w:lang w:eastAsia="ru-RU"/>
        </w:rPr>
      </w:pP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(приказ АО «Россельхозбанк» от 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__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.</w:t>
      </w:r>
      <w:r>
        <w:rPr>
          <w:rFonts w:ascii="Times New Roman" w:hAnsi="Times New Roman" w:eastAsia="Times New Roman" w:cs="Tahoma"/>
          <w:sz w:val="20"/>
          <w:szCs w:val="20"/>
          <w:lang w:val="en-US" w:eastAsia="ru-RU"/>
        </w:rPr>
        <w:t xml:space="preserve">__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.20</w:t>
      </w:r>
      <w:r>
        <w:rPr>
          <w:rFonts w:ascii="Times New Roman" w:hAnsi="Times New Roman" w:eastAsia="Times New Roman" w:cs="Tahoma"/>
          <w:sz w:val="20"/>
          <w:szCs w:val="20"/>
          <w:lang w:val="en-US" w:eastAsia="ru-RU"/>
        </w:rPr>
        <w:t xml:space="preserve">__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 № </w:t>
      </w:r>
      <w:r>
        <w:rPr>
          <w:rFonts w:ascii="Times New Roman" w:hAnsi="Times New Roman" w:eastAsia="Times New Roman" w:cs="Tahoma"/>
          <w:sz w:val="20"/>
          <w:szCs w:val="20"/>
          <w:lang w:val="en-US" w:eastAsia="ru-RU"/>
        </w:rPr>
        <w:t xml:space="preserve">_______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)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</w:p>
    <w:p>
      <w:pPr>
        <w:pStyle w:val="852"/>
        <w:jc w:val="center"/>
        <w:spacing w:after="0" w:line="240" w:lineRule="auto"/>
        <w:rPr>
          <w:rFonts w:ascii="Times New Roman" w:hAnsi="Times New Roman" w:cs="Times New Roman"/>
          <w:b/>
          <w:caps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cs="Times New Roman"/>
          <w:b/>
          <w:caps/>
          <w:sz w:val="22"/>
          <w:szCs w:val="22"/>
        </w:rPr>
      </w:r>
      <w:r>
        <w:rPr>
          <w:rFonts w:ascii="Times New Roman" w:hAnsi="Times New Roman" w:cs="Times New Roman"/>
          <w:b/>
          <w:caps/>
          <w:sz w:val="22"/>
          <w:szCs w:val="22"/>
        </w:rPr>
      </w:r>
    </w:p>
    <w:p>
      <w:pPr>
        <w:pStyle w:val="852"/>
        <w:jc w:val="center"/>
        <w:spacing w:after="0" w:line="24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  <w:lang w:eastAsia="ru-RU"/>
        </w:rPr>
        <w:t xml:space="preserve">Инструкция по обслуживанию Держателей</w:t>
      </w:r>
      <w:r>
        <w:rPr>
          <w:rFonts w:ascii="Times New Roman" w:hAnsi="Times New Roman" w:eastAsia="Times New Roman" w:cs="Times New Roman"/>
          <w:b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2"/>
          <w:szCs w:val="22"/>
          <w:lang w:eastAsia="ru-RU"/>
        </w:rPr>
        <w:t xml:space="preserve">платежных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2"/>
          <w:szCs w:val="22"/>
          <w:lang w:eastAsia="ru-RU"/>
        </w:rPr>
        <w:t xml:space="preserve">карт</w:t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2"/>
          <w:szCs w:val="22"/>
        </w:rPr>
      </w:r>
    </w:p>
    <w:p>
      <w:pPr>
        <w:pStyle w:val="852"/>
        <w:jc w:val="center"/>
        <w:spacing w:after="0" w:line="24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  <w:lang w:eastAsia="ru-RU"/>
        </w:rPr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2"/>
          <w:szCs w:val="22"/>
        </w:rPr>
      </w:r>
    </w:p>
    <w:p>
      <w:pPr>
        <w:pStyle w:val="852"/>
        <w:numPr>
          <w:ilvl w:val="0"/>
          <w:numId w:val="3"/>
        </w:numPr>
        <w:jc w:val="center"/>
        <w:spacing w:after="0" w:line="24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  <w:lang w:eastAsia="ru-RU"/>
        </w:rPr>
        <w:t xml:space="preserve">Общие положения</w:t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2"/>
          <w:szCs w:val="22"/>
        </w:rPr>
      </w:r>
    </w:p>
    <w:p>
      <w:pPr>
        <w:pStyle w:val="852"/>
        <w:contextualSpacing/>
        <w:ind w:left="360"/>
        <w:spacing w:after="0" w:line="240" w:lineRule="auto"/>
        <w:rPr>
          <w:rFonts w:ascii="Times New Roman" w:hAnsi="Times New Roman" w:cs="Times New Roman"/>
          <w:b/>
          <w:caps/>
          <w:sz w:val="22"/>
          <w:szCs w:val="22"/>
        </w:rPr>
      </w:pPr>
      <w:r>
        <w:rPr>
          <w:rFonts w:ascii="Times New Roman" w:hAnsi="Times New Roman" w:eastAsia="Times New Roman" w:cs="Times New Roman"/>
          <w:b/>
          <w:caps/>
          <w:sz w:val="22"/>
          <w:szCs w:val="22"/>
          <w:lang w:eastAsia="ru-RU"/>
        </w:rPr>
      </w:r>
      <w:r>
        <w:rPr>
          <w:rFonts w:ascii="Times New Roman" w:hAnsi="Times New Roman" w:cs="Times New Roman"/>
          <w:b/>
          <w:caps/>
          <w:sz w:val="22"/>
          <w:szCs w:val="22"/>
        </w:rPr>
      </w:r>
      <w:r>
        <w:rPr>
          <w:rFonts w:ascii="Times New Roman" w:hAnsi="Times New Roman" w:cs="Times New Roman"/>
          <w:b/>
          <w:caps/>
          <w:sz w:val="22"/>
          <w:szCs w:val="22"/>
        </w:rPr>
      </w:r>
    </w:p>
    <w:p>
      <w:pPr>
        <w:pStyle w:val="852"/>
        <w:numPr>
          <w:ilvl w:val="1"/>
          <w:numId w:val="3"/>
        </w:numPr>
        <w:ind w:left="0" w:firstLine="709"/>
        <w:jc w:val="both"/>
        <w:spacing w:after="0" w:line="240" w:lineRule="auto"/>
        <w:tabs>
          <w:tab w:val="clear" w:pos="360" w:leader="none"/>
          <w:tab w:val="left" w:pos="12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Настоящая Инструкция по обслуживанию Держателей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платежных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карт (далее Инструкция)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и ЭС (при наличии)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является неотъемлемой частью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Условий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и заключаемого Сторонами Договора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и устанавливает порядок обслуживания Держателей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платежных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карт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и ЭС (при наличии)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в рамках исполнения заключаемого Сторонами Договора.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52"/>
        <w:numPr>
          <w:ilvl w:val="1"/>
          <w:numId w:val="3"/>
        </w:numPr>
        <w:ind w:left="0" w:firstLine="709"/>
        <w:jc w:val="both"/>
        <w:spacing w:after="0" w:line="240" w:lineRule="auto"/>
        <w:tabs>
          <w:tab w:val="clear" w:pos="360" w:leader="none"/>
          <w:tab w:val="left" w:pos="12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Все положения Инструкции обязательны для выполнения. В соответствии с заключаемым Сторонами Договором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Клиент несет полную финансовую ответственность перед Банком за нарушение любых требований Инструкции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работниками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Клиента.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52"/>
        <w:numPr>
          <w:ilvl w:val="1"/>
          <w:numId w:val="3"/>
        </w:numPr>
        <w:ind w:left="0" w:firstLine="709"/>
        <w:jc w:val="both"/>
        <w:spacing w:after="0" w:line="240" w:lineRule="auto"/>
        <w:tabs>
          <w:tab w:val="clear" w:pos="360" w:leader="none"/>
          <w:tab w:val="left" w:pos="12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По вопросам,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связанным с обслуживанием Держателей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платежных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карт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и ЭС (при наличии)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в рамках заключаемого Сторонами Договора, Клиент может обратиться по следующим контактным данным: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52"/>
        <w:ind w:left="709"/>
        <w:jc w:val="both"/>
        <w:spacing w:after="0" w:line="240" w:lineRule="auto"/>
        <w:tabs>
          <w:tab w:val="left" w:pos="1320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ru-RU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410"/>
        <w:gridCol w:w="2707"/>
        <w:gridCol w:w="46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01"/>
        </w:trPr>
        <w:tc>
          <w:tcPr>
            <w:gridSpan w:val="3"/>
            <w:tcW w:w="9781" w:type="dxa"/>
            <w:vAlign w:val="top"/>
            <w:textDirection w:val="lrTb"/>
            <w:noWrap w:val="false"/>
          </w:tcPr>
          <w:p>
            <w:pPr>
              <w:pStyle w:val="852"/>
              <w:spacing w:after="0"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КОНТАКТНЫЕ ДАННЫЕ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СЛУЖБЫ ПОДДЕРЖКИ ПОЛЬЗОВАТЕЛЕЙ АПК БАНКА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52"/>
              <w:spacing w:after="0"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(консультативная помощь по вопросам работы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ппаратно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-п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рограммного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омплекса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 Банка, обеспечивающего Авторизацию Операций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Электронн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ых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магазинов)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99"/>
        </w:trPr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52"/>
              <w:spacing w:after="0"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Время работы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52"/>
              <w:spacing w:after="0"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52"/>
              <w:spacing w:after="0"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707" w:type="dxa"/>
            <w:vAlign w:val="top"/>
            <w:textDirection w:val="lrTb"/>
            <w:noWrap w:val="false"/>
          </w:tcPr>
          <w:p>
            <w:pPr>
              <w:pStyle w:val="852"/>
              <w:spacing w:after="12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Пн. – П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т.: с 09:00 до 18:00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664" w:type="dxa"/>
            <w:vAlign w:val="top"/>
            <w:textDirection w:val="lrTb"/>
            <w:noWrap w:val="false"/>
          </w:tcPr>
          <w:p>
            <w:pPr>
              <w:pStyle w:val="852"/>
              <w:spacing w:after="0"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+7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(495)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788-95-25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52"/>
              <w:spacing w:after="0"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support@rbs-payments.ru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pStyle w:val="852"/>
        <w:ind w:left="709"/>
        <w:jc w:val="both"/>
        <w:spacing w:after="0" w:line="240" w:lineRule="auto"/>
        <w:tabs>
          <w:tab w:val="left" w:pos="1320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ru-RU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378"/>
        <w:gridCol w:w="2819"/>
        <w:gridCol w:w="45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30"/>
        </w:trPr>
        <w:tc>
          <w:tcPr>
            <w:gridSpan w:val="3"/>
            <w:tcW w:w="9781" w:type="dxa"/>
            <w:vAlign w:val="top"/>
            <w:textDirection w:val="lrTb"/>
            <w:noWrap w:val="false"/>
          </w:tcPr>
          <w:p>
            <w:pPr>
              <w:pStyle w:val="852"/>
              <w:spacing w:after="0"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ТЕЛЕФОНЫ ПОДРАЗДЕЛЕНИЯ БАНКА, ОБСЛУЖИВАЮЩЕГО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КЛИЕНТА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52"/>
              <w:spacing w:after="0"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(решение организационных, финансовых и иных вопросов)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26"/>
        </w:trPr>
        <w:tc>
          <w:tcPr>
            <w:tcW w:w="2378" w:type="dxa"/>
            <w:vAlign w:val="top"/>
            <w:textDirection w:val="lrTb"/>
            <w:noWrap w:val="false"/>
          </w:tcPr>
          <w:p>
            <w:pPr>
              <w:pStyle w:val="852"/>
              <w:spacing w:after="0"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Время работы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52"/>
              <w:spacing w:after="0"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регионального филиала Банка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819" w:type="dxa"/>
            <w:vAlign w:val="top"/>
            <w:textDirection w:val="lrTb"/>
            <w:noWrap w:val="false"/>
          </w:tcPr>
          <w:p>
            <w:pPr>
              <w:pStyle w:val="852"/>
              <w:spacing w:after="0"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Пн. – Чт.: с 09:00 до 18:00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52"/>
              <w:spacing w:after="0"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Пт.: с 09:00 до 16:45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584" w:type="dxa"/>
            <w:vAlign w:val="top"/>
            <w:textDirection w:val="lrTb"/>
            <w:noWrap w:val="false"/>
          </w:tcPr>
          <w:p>
            <w:pPr>
              <w:pStyle w:val="852"/>
              <w:spacing w:after="0"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instrText xml:space="preserve"> HYPERLINK "tel:8%20(800)%20200-02-90"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fldChar w:fldCharType="separate"/>
            </w:r>
            <w:r>
              <w:rPr>
                <w:rStyle w:val="873"/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8 (800) </w:t>
            </w:r>
            <w:r>
              <w:rPr>
                <w:rStyle w:val="873"/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</w:t>
            </w:r>
            <w:r>
              <w:rPr>
                <w:rStyle w:val="873"/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00-</w:t>
            </w:r>
            <w:r>
              <w:rPr>
                <w:rStyle w:val="873"/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78</w:t>
            </w:r>
            <w:r>
              <w:rPr>
                <w:rStyle w:val="873"/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-</w:t>
            </w:r>
            <w:r>
              <w:rPr>
                <w:rStyle w:val="873"/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7</w:t>
            </w:r>
            <w:r>
              <w:rPr>
                <w:rStyle w:val="873"/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 или номер телефон регионального филиала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pStyle w:val="852"/>
        <w:numPr>
          <w:ilvl w:val="0"/>
          <w:numId w:val="3"/>
        </w:numPr>
        <w:ind w:left="0" w:firstLine="0"/>
        <w:jc w:val="center"/>
        <w:spacing w:before="120" w:after="120" w:line="240" w:lineRule="auto"/>
        <w:tabs>
          <w:tab w:val="clear" w:pos="360" w:leader="none"/>
          <w:tab w:val="left" w:pos="426" w:leader="none"/>
        </w:tabs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  <w:lang w:eastAsia="ru-RU"/>
        </w:rPr>
        <w:t xml:space="preserve">Порядок совершения Операции оплаты</w:t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2"/>
          <w:szCs w:val="22"/>
        </w:rPr>
      </w:r>
    </w:p>
    <w:p>
      <w:pPr>
        <w:pStyle w:val="852"/>
        <w:numPr>
          <w:ilvl w:val="1"/>
          <w:numId w:val="3"/>
        </w:numPr>
        <w:ind w:left="0" w:firstLine="709"/>
        <w:jc w:val="both"/>
        <w:spacing w:after="0" w:line="240" w:lineRule="auto"/>
        <w:tabs>
          <w:tab w:val="num" w:pos="-4536" w:leader="none"/>
          <w:tab w:val="clear" w:pos="360" w:leader="none"/>
          <w:tab w:val="left" w:pos="12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Держатель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платежной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карты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и ЭС (при наличии)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обращается в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Электронн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ый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магазин Клиента и формирует заказ на оплату товаров (работ, услуг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, результатов интеллектуальной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деятельности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), подтверждает условия оформления заказа (наименование товаров (работ, услуг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, результатов интеллектуальной деятельности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, способ доставки, выбор средства оплаты, сумма платежа) и выбирает в качестве средства оплаты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латежную карту.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52"/>
        <w:numPr>
          <w:ilvl w:val="1"/>
          <w:numId w:val="3"/>
        </w:numPr>
        <w:ind w:left="0" w:firstLine="709"/>
        <w:jc w:val="both"/>
        <w:spacing w:after="0" w:line="240" w:lineRule="auto"/>
        <w:tabs>
          <w:tab w:val="num" w:pos="-4536" w:leader="none"/>
          <w:tab w:val="clear" w:pos="360" w:leader="none"/>
          <w:tab w:val="left" w:pos="12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Электронн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ый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магазин обрабатывает заказ и фор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мирует запрос в АПК Банка, направляя Держателя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платежной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карты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и ЭС (при наличии)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на а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вторизационную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интернет-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страницу Банка, на которой отображаются параметры платежа, и на которой Держателю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платежной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карты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и ЭС (при наличии)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предлагается ввести реквизиты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платежной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арты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и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(если необходимо)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выбрать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использование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ЭС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. На а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вторизационной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интернет-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странице Держатель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платежной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карты вводит информацию о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реквизит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ах своей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платежной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арты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, выбирает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возможность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использовани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я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ЭС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(если необходимо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для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совершения Операций оплаты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установив символ галочки в специальном поле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совершает иные действия (если необходимо) в соответствии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со сведениями, размещенными на а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вторизационной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интернет-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странице.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52"/>
        <w:numPr>
          <w:ilvl w:val="1"/>
          <w:numId w:val="3"/>
        </w:numPr>
        <w:ind w:left="0" w:firstLine="709"/>
        <w:jc w:val="both"/>
        <w:spacing w:after="0" w:line="240" w:lineRule="auto"/>
        <w:tabs>
          <w:tab w:val="num" w:pos="-2835" w:leader="none"/>
          <w:tab w:val="clear" w:pos="360" w:leader="none"/>
          <w:tab w:val="left" w:pos="12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Cs/>
          <w:sz w:val="22"/>
          <w:szCs w:val="22"/>
        </w:rPr>
        <w:t xml:space="preserve">В случае участия платежной карты в программе MirAccept</w:t>
      </w:r>
      <w:r>
        <w:rPr>
          <w:rFonts w:ascii="Times New Roman" w:hAnsi="Times New Roman" w:eastAsia="Times New Roman" w:cs="Times New Roman"/>
          <w:bCs/>
          <w:sz w:val="22"/>
          <w:szCs w:val="22"/>
        </w:rPr>
        <w:t xml:space="preserve"> и</w:t>
      </w:r>
      <w:r>
        <w:rPr>
          <w:rFonts w:ascii="Times New Roman" w:hAnsi="Times New Roman" w:eastAsia="Times New Roman" w:cs="Times New Roman"/>
          <w:bCs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Cs/>
          <w:sz w:val="22"/>
          <w:szCs w:val="22"/>
        </w:rPr>
        <w:t xml:space="preserve">программах аутентификации иных международных платежных систем осуществление операций по </w:t>
      </w:r>
      <w:r>
        <w:rPr>
          <w:rFonts w:ascii="Times New Roman" w:hAnsi="Times New Roman" w:eastAsia="Times New Roman" w:cs="Times New Roman"/>
          <w:bCs/>
          <w:sz w:val="22"/>
          <w:szCs w:val="22"/>
        </w:rPr>
        <w:t xml:space="preserve">платежным </w:t>
      </w:r>
      <w:r>
        <w:rPr>
          <w:rFonts w:ascii="Times New Roman" w:hAnsi="Times New Roman" w:eastAsia="Times New Roman" w:cs="Times New Roman"/>
          <w:bCs/>
          <w:sz w:val="22"/>
          <w:szCs w:val="22"/>
        </w:rPr>
        <w:t xml:space="preserve">картам которых обеспечивается АО «Национальная система платежных карт»</w:t>
      </w:r>
      <w:r>
        <w:rPr>
          <w:rFonts w:ascii="Times New Roman" w:hAnsi="Times New Roman" w:eastAsia="Times New Roman" w:cs="Times New Roman"/>
          <w:bCs/>
          <w:sz w:val="22"/>
          <w:szCs w:val="22"/>
        </w:rPr>
        <w:t xml:space="preserve">, Банк на своё усмотрение может производить дополнительные проверки и переадресацию Держателя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платежной </w:t>
      </w:r>
      <w:r>
        <w:rPr>
          <w:rFonts w:ascii="Times New Roman" w:hAnsi="Times New Roman" w:eastAsia="Times New Roman" w:cs="Times New Roman"/>
          <w:bCs/>
          <w:sz w:val="22"/>
          <w:szCs w:val="22"/>
        </w:rPr>
        <w:t xml:space="preserve">карты на специализированную страницу Эмитента для ввода специального пар</w:t>
      </w:r>
      <w:r>
        <w:rPr>
          <w:rFonts w:ascii="Times New Roman" w:hAnsi="Times New Roman" w:eastAsia="Times New Roman" w:cs="Times New Roman"/>
          <w:bCs/>
          <w:sz w:val="22"/>
          <w:szCs w:val="22"/>
        </w:rPr>
        <w:t xml:space="preserve">оля (3D-пароль). Специальный пароль представляет собой цифровую/буквенно-цифровую последовательность, предоставленную Эмитентом Держателю карты, однозначно идентифицирующую клиента как Держателя карты. Проверка специального пароля обеспечивается Эмитентом.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52"/>
        <w:numPr>
          <w:ilvl w:val="1"/>
          <w:numId w:val="3"/>
        </w:numPr>
        <w:ind w:left="0" w:firstLine="709"/>
        <w:jc w:val="both"/>
        <w:spacing w:after="0" w:line="240" w:lineRule="auto"/>
        <w:tabs>
          <w:tab w:val="num" w:pos="-2835" w:leader="none"/>
          <w:tab w:val="clear" w:pos="360" w:leader="none"/>
          <w:tab w:val="left" w:pos="12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Банк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может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проверят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ь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корректность формата вводимых параметров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платежной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арты и осуществлят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ь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дополнительные процедуры аутентификации Держателя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платежной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карты в соответствии с международными стандартами (3</w:t>
      </w:r>
      <w:r>
        <w:rPr>
          <w:rFonts w:ascii="Times New Roman" w:hAnsi="Times New Roman" w:eastAsia="Times New Roman" w:cs="Times New Roman"/>
          <w:sz w:val="22"/>
          <w:szCs w:val="22"/>
          <w:lang w:val="en-US" w:eastAsia="ru-RU"/>
        </w:rPr>
        <w:t xml:space="preserve">DSecure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); проверят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ь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право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Электронн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ого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магазина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инициировать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прове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дение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Операции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оплаты и направлят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ь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запрос на получение Авторизации в установленном соответствующей ПС порядке через АПК Банка.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52"/>
        <w:numPr>
          <w:ilvl w:val="1"/>
          <w:numId w:val="3"/>
        </w:numPr>
        <w:ind w:left="0" w:firstLine="709"/>
        <w:jc w:val="both"/>
        <w:spacing w:after="0" w:line="240" w:lineRule="auto"/>
        <w:tabs>
          <w:tab w:val="num" w:pos="-2835" w:leader="none"/>
          <w:tab w:val="clear" w:pos="360" w:leader="none"/>
          <w:tab w:val="left" w:pos="12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Банк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автоматически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проводит оценку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Авторизации на соответствие установленным правилам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выявления признаков мошенничества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и осуществляет автоматическую блокировку Авторизаций,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если данные признаки будут выявлены при оценке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, с отображение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в Личном Кабинете как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Авторизации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с соответствующим статусом. При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необходимости уточнить характер выявле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н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ного признака мошенничества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Клиент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обращается в Службу поддержки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пользователей АПК Банка.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52"/>
        <w:numPr>
          <w:ilvl w:val="1"/>
          <w:numId w:val="3"/>
        </w:numPr>
        <w:ind w:left="0" w:firstLine="709"/>
        <w:jc w:val="both"/>
        <w:spacing w:after="0" w:line="240" w:lineRule="auto"/>
        <w:tabs>
          <w:tab w:val="num" w:pos="-2835" w:leader="none"/>
          <w:tab w:val="clear" w:pos="360" w:leader="none"/>
          <w:tab w:val="left" w:pos="12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При получении отказа в Авторизации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Банк отправляет уведомление Клиенту в электронном виде с использованием АПК Банка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Клиент, в свою очередь, передает данную информацию Держателю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платежной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карты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и ЭС (при наличии)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в электронном виде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по согласованным с Держателем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платежной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карты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и ЭС (при наличии)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каналам связи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, с указанием причин отказа.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52"/>
        <w:numPr>
          <w:ilvl w:val="1"/>
          <w:numId w:val="3"/>
        </w:numPr>
        <w:ind w:left="0" w:firstLine="709"/>
        <w:jc w:val="both"/>
        <w:spacing w:after="0" w:line="240" w:lineRule="auto"/>
        <w:tabs>
          <w:tab w:val="num" w:pos="-2835" w:leader="none"/>
          <w:tab w:val="clear" w:pos="360" w:leader="none"/>
          <w:tab w:val="left" w:pos="12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При получении положительного результата Авторизации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Банк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в электронном виде с использованием АПК Банка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информирует Клиента о положительной Авторизации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Клиент, в свою очередь, передает данную информацию Держателю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платежной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карты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и ЭС (при наличии)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в электронном виде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по согласованным с Держателем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платежной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карты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и ЭС (при наличии)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каналам связи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52"/>
        <w:numPr>
          <w:ilvl w:val="1"/>
          <w:numId w:val="3"/>
        </w:numPr>
        <w:ind w:left="0" w:firstLine="709"/>
        <w:jc w:val="both"/>
        <w:spacing w:after="0" w:line="240" w:lineRule="auto"/>
        <w:tabs>
          <w:tab w:val="num" w:pos="-2835" w:leader="none"/>
          <w:tab w:val="clear" w:pos="360" w:leader="none"/>
          <w:tab w:val="left" w:pos="12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Обработка успешно авторизованных Операций осуществляется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Банком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автоматически не позднее следующего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рабочего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Текущего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дня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, следующего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за днём совершения Операции.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ab/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52"/>
        <w:numPr>
          <w:ilvl w:val="1"/>
          <w:numId w:val="3"/>
        </w:numPr>
        <w:ind w:left="0" w:firstLine="709"/>
        <w:jc w:val="both"/>
        <w:spacing w:after="0" w:line="240" w:lineRule="auto"/>
        <w:tabs>
          <w:tab w:val="num" w:pos="-2835" w:leader="none"/>
          <w:tab w:val="clear" w:pos="360" w:leader="none"/>
          <w:tab w:val="left" w:pos="12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При совершении Операции оплаты с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использования ЭС в АПК Банка автоматически на а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вторизационн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ой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интернет-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страниц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е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Банка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формирует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ся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на основании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ранее подтвержденного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Держателем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платежной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карты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заказа список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отдельных видов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товаров, работ, услуг, которые могут быть оплачены за счет ЭС, сумм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к оплате собственными средствами (может принимать нулевое значение) и сумм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к оплате за счет ЭС.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52"/>
        <w:numPr>
          <w:ilvl w:val="2"/>
          <w:numId w:val="3"/>
        </w:numPr>
        <w:ind w:left="0" w:firstLine="709"/>
        <w:jc w:val="both"/>
        <w:spacing w:after="0" w:line="240" w:lineRule="auto"/>
        <w:tabs>
          <w:tab w:val="clear" w:pos="720" w:leader="none"/>
          <w:tab w:val="left" w:pos="1418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В случае, если стоимость единицы отдельного вида товара, работы, услуги, приобретаемых с использованием ЭС, превышает сумму, в пределах которой возможна оплата ЭС, Держатель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платежной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карты вправе осуществить доплату до их фактической стоимости за счет собственных денежных средств на платежной карте ПС «Мир»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сведения о которой содержатся в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ЭС.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Частичная или полная доплата разницы фактической стоимости и ЭС за счет собственных денежных средств на платежной карте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сведения о которой не содержатся в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ЭС невозможна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52"/>
        <w:numPr>
          <w:ilvl w:val="2"/>
          <w:numId w:val="3"/>
        </w:numPr>
        <w:ind w:left="0" w:firstLine="709"/>
        <w:jc w:val="both"/>
        <w:spacing w:after="0" w:line="240" w:lineRule="auto"/>
        <w:tabs>
          <w:tab w:val="left" w:pos="709" w:leader="none"/>
          <w:tab w:val="clear" w:pos="720" w:leader="none"/>
          <w:tab w:val="left" w:pos="1418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Если сумма к оплате за счет ЭС окажется нулевой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Держатель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платежной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карты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вправе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совершить Операцию оплаты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за счет собственных денежных средств на платежной карте ПС «Мир»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сведения о которой содержатся в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ЭС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или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за счет собственных денежных средств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на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платежной карт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е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сведения о которой не содержатся в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ЭС. Для оплаты платежной картой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сведения о которой не содержатся в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ЭС необходимо вернуться на этап ввода реквизитов новой платежной карты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и совершить Операцию оплаты без выбора варианта оплаты с использованием ЭС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52"/>
        <w:numPr>
          <w:ilvl w:val="0"/>
          <w:numId w:val="3"/>
        </w:numPr>
        <w:ind w:left="0" w:firstLine="0"/>
        <w:jc w:val="center"/>
        <w:spacing w:before="120" w:after="120" w:line="240" w:lineRule="auto"/>
        <w:tabs>
          <w:tab w:val="num" w:pos="-3261" w:leader="none"/>
          <w:tab w:val="clear" w:pos="360" w:leader="none"/>
          <w:tab w:val="left" w:pos="426" w:leader="none"/>
        </w:tabs>
        <w:rPr>
          <w:rFonts w:ascii="Times New Roman" w:hAnsi="Times New Roman" w:cs="Times New Roman"/>
          <w:b/>
          <w:caps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  <w:lang w:eastAsia="ru-RU"/>
        </w:rPr>
        <w:t xml:space="preserve">Порядок совершения О</w:t>
      </w:r>
      <w:r>
        <w:rPr>
          <w:rFonts w:ascii="Times New Roman" w:hAnsi="Times New Roman" w:eastAsia="Times New Roman" w:cs="Times New Roman"/>
          <w:b/>
          <w:sz w:val="22"/>
          <w:szCs w:val="22"/>
          <w:lang w:eastAsia="ru-RU"/>
        </w:rPr>
        <w:t xml:space="preserve">перации отмены оплаты</w:t>
      </w:r>
      <w:r>
        <w:rPr>
          <w:rFonts w:ascii="Times New Roman" w:hAnsi="Times New Roman" w:cs="Times New Roman"/>
          <w:b/>
          <w:caps/>
          <w:sz w:val="22"/>
          <w:szCs w:val="22"/>
        </w:rPr>
      </w:r>
      <w:r>
        <w:rPr>
          <w:rFonts w:ascii="Times New Roman" w:hAnsi="Times New Roman" w:cs="Times New Roman"/>
          <w:b/>
          <w:caps/>
          <w:sz w:val="22"/>
          <w:szCs w:val="22"/>
        </w:rPr>
      </w:r>
    </w:p>
    <w:p>
      <w:pPr>
        <w:pStyle w:val="852"/>
        <w:numPr>
          <w:ilvl w:val="1"/>
          <w:numId w:val="3"/>
        </w:numPr>
        <w:ind w:left="0" w:firstLine="709"/>
        <w:jc w:val="both"/>
        <w:spacing w:after="0" w:line="240" w:lineRule="auto"/>
        <w:tabs>
          <w:tab w:val="num" w:pos="-1701" w:leader="none"/>
          <w:tab w:val="clear" w:pos="360" w:leader="none"/>
          <w:tab w:val="left" w:pos="12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В случае если после проведения Операции оплаты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, в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течение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24 часов с момента проведения Операции оплаты,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возникла необходимость ее отмены (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например: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Держатель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платежной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карты отказался от о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плаченных товаров (работ, услуг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результатов интеллектуальной деятельности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),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то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Клиент может провести Операцию отмены, передав в АПК Банка запрос на отмену Операции оплаты. Операция отмены оплаты может быть проведена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только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на полную сумму Операции оплаты. Операция отмены оплаты считается успешно совершенной только в случае, если поле «Статус» ответа АПК Банка на запрос, принимает значение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«0»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. Любое другое значение указанного поля означает, что Операция отмены оплаты не выполнена.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Операцию Отмены оплаты можно провести только один раз, а в случае получения отрицательного ответа (со значением отличным от «0») на авторизационный запрос на проведение Операции отмены, все последующие запросы будут отклоняться АПК Банка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и для возврата средств Держателю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платежной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карты Клиенту необходимо провести Операцию возврата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52"/>
        <w:numPr>
          <w:ilvl w:val="1"/>
          <w:numId w:val="3"/>
        </w:numPr>
        <w:ind w:left="0" w:firstLine="709"/>
        <w:jc w:val="both"/>
        <w:spacing w:after="0" w:line="240" w:lineRule="auto"/>
        <w:tabs>
          <w:tab w:val="num" w:pos="-1701" w:leader="none"/>
          <w:tab w:val="clear" w:pos="360" w:leader="none"/>
          <w:tab w:val="left" w:pos="12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О результатах Операции отмены оплаты Клиент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информирует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Держателя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платежной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карты путем направления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уведомления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в электронном виде по согласованным с Держателем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платежной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карты каналам связи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52"/>
        <w:numPr>
          <w:ilvl w:val="1"/>
          <w:numId w:val="3"/>
        </w:numPr>
        <w:ind w:left="0" w:firstLine="709"/>
        <w:jc w:val="both"/>
        <w:spacing w:after="0" w:line="240" w:lineRule="auto"/>
        <w:tabs>
          <w:tab w:val="num" w:pos="-1701" w:leader="none"/>
          <w:tab w:val="clear" w:pos="360" w:leader="none"/>
          <w:tab w:val="left" w:pos="12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Для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проведения Операции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отмены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Клиенту дополнительно может быть доступно (на усмотрение Банка) проведение Операции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отмены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с использованием Личного кабинета.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52"/>
        <w:numPr>
          <w:ilvl w:val="1"/>
          <w:numId w:val="3"/>
        </w:numPr>
        <w:ind w:left="0" w:firstLine="709"/>
        <w:jc w:val="both"/>
        <w:spacing w:after="0" w:line="240" w:lineRule="auto"/>
        <w:tabs>
          <w:tab w:val="num" w:pos="-1701" w:leader="none"/>
          <w:tab w:val="clear" w:pos="360" w:leader="none"/>
          <w:tab w:val="left" w:pos="12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Операция отмены оплаты является основанием для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не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списани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я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с банковского счета Держателя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платежной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карты, к которому выпущена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платежная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арта, денежных с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редств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по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Операции оплаты.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52"/>
        <w:numPr>
          <w:ilvl w:val="0"/>
          <w:numId w:val="3"/>
        </w:numPr>
        <w:ind w:left="0" w:firstLine="0"/>
        <w:jc w:val="center"/>
        <w:spacing w:before="120" w:after="120" w:line="240" w:lineRule="auto"/>
        <w:tabs>
          <w:tab w:val="num" w:pos="-4111" w:leader="none"/>
          <w:tab w:val="clear" w:pos="360" w:leader="none"/>
          <w:tab w:val="left" w:pos="426" w:leader="none"/>
        </w:tabs>
        <w:rPr>
          <w:rFonts w:ascii="Times New Roman" w:hAnsi="Times New Roman" w:cs="Times New Roman"/>
          <w:b/>
          <w:caps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  <w:lang w:eastAsia="ru-RU"/>
        </w:rPr>
        <w:t xml:space="preserve">Порядок совершения Операции возврата</w:t>
      </w:r>
      <w:r>
        <w:rPr>
          <w:rFonts w:ascii="Times New Roman" w:hAnsi="Times New Roman" w:cs="Times New Roman"/>
          <w:b/>
          <w:caps/>
          <w:sz w:val="22"/>
          <w:szCs w:val="22"/>
        </w:rPr>
      </w:r>
      <w:r>
        <w:rPr>
          <w:rFonts w:ascii="Times New Roman" w:hAnsi="Times New Roman" w:cs="Times New Roman"/>
          <w:b/>
          <w:caps/>
          <w:sz w:val="22"/>
          <w:szCs w:val="22"/>
        </w:rPr>
      </w:r>
    </w:p>
    <w:p>
      <w:pPr>
        <w:pStyle w:val="852"/>
        <w:numPr>
          <w:ilvl w:val="1"/>
          <w:numId w:val="3"/>
        </w:numPr>
        <w:ind w:left="0" w:firstLine="709"/>
        <w:jc w:val="both"/>
        <w:spacing w:after="0" w:line="240" w:lineRule="auto"/>
        <w:tabs>
          <w:tab w:val="num" w:pos="-5529" w:leader="none"/>
          <w:tab w:val="clear" w:pos="360" w:leader="none"/>
          <w:tab w:val="left" w:pos="12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В случае если необходимо отменить Операцию оплаты, по истечению 24 часов с момента проведения Операции оплаты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или при необходимости вернуть Держателю платежной карты часть суммы Операции оплаты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и возврата за счет ЭС (при наличии)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, а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также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в случае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невозможности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проведения Операции отмены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выполняется Операция возврата. Для совершения Операции возврата Клиент формирует запрос на Операцию возврата в АПК Банка. Операция возврата может производиться как на полную сумму Операции оплаты, так и на ее часть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и возврата за счет ЭС (при наличии),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допускается проведение нескольких Операций возврата, но суммарно не более суммы Операции оплаты. Операция возврата является основанием для зачисления на банковский счет Держателя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платежной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карт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ы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денежных средств в сумме, на которую проведена Операция возврата.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Операция возврата оплаты товаров, работ, услуг, приобретенных с использованием ЭС, осуществляется по сценарию возврата, аналогичному со сценарием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возврата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Операции оплаты.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Операция возврата/частичного возврата считается успешно совершенной, только если, поле ответа АПК Банка «Статус» принимает значение «Успешно». По факту совершения Клиентом Операции возврата Банк формирует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и направляет Клиенту через АПК Банка информацию о статусе Операции, дополнительно Банк не выдает никаких дополнительных письменных подтверждений факта обработки Операции возврата. Успешно совершенная Операция возврата является безотзывной и окончательной.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52"/>
        <w:numPr>
          <w:ilvl w:val="1"/>
          <w:numId w:val="3"/>
        </w:numPr>
        <w:ind w:left="0" w:firstLine="709"/>
        <w:jc w:val="both"/>
        <w:spacing w:after="0" w:line="240" w:lineRule="auto"/>
        <w:tabs>
          <w:tab w:val="num" w:pos="-5529" w:leader="none"/>
          <w:tab w:val="clear" w:pos="360" w:leader="none"/>
          <w:tab w:val="left" w:pos="12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Клиент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информирует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Держателя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платежной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карты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и ЭС (при наличии)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о результатах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проведения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Операции возврата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путем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направления уведомления в электронном виде по согласованным с Держателем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платежной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карты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и ЭС (при наличии)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каналам связи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, с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указанием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сведений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об Операции оплаты.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52"/>
        <w:numPr>
          <w:ilvl w:val="1"/>
          <w:numId w:val="3"/>
        </w:numPr>
        <w:ind w:left="0" w:firstLine="709"/>
        <w:jc w:val="both"/>
        <w:spacing w:after="0" w:line="240" w:lineRule="auto"/>
        <w:tabs>
          <w:tab w:val="num" w:pos="-5529" w:leader="none"/>
          <w:tab w:val="clear" w:pos="360" w:leader="none"/>
          <w:tab w:val="left" w:pos="12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Д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ля проведения Операции возврата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Клиенту до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ступно проведение Операции возврата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с использованием соответствующего функционала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веб-интерфейса Личного кабинета или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формир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ование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запрос на обработку Операции возврата в АПК Банка.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52"/>
        <w:numPr>
          <w:ilvl w:val="1"/>
          <w:numId w:val="3"/>
        </w:numPr>
        <w:ind w:left="0" w:firstLine="709"/>
        <w:jc w:val="both"/>
        <w:spacing w:after="0" w:line="240" w:lineRule="auto"/>
        <w:tabs>
          <w:tab w:val="num" w:pos="-5529" w:leader="none"/>
          <w:tab w:val="clear" w:pos="360" w:leader="none"/>
          <w:tab w:val="left" w:pos="12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Внутренние правила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Э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митента могут не предусматривать немедленного вывода суммы Операции возврата в доступный остаток по факту ее обработки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и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сумма данной Операции может быть блокирована на срок, определенный договором на выдачу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и обслуживание платежной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к</w: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арты.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52"/>
        <w:ind w:firstLine="709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sectPr>
      <w:headerReference w:type="default" r:id="rId9"/>
      <w:footnotePr>
        <w:numRestart w:val="continuous"/>
      </w:footnotePr>
      <w:endnotePr/>
      <w:type w:val="nextPage"/>
      <w:pgSz w:w="11906" w:h="16838" w:orient="portrait"/>
      <w:pgMar w:top="850" w:right="709" w:bottom="96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52"/>
    <w:next w:val="852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link w:val="674"/>
    <w:uiPriority w:val="9"/>
    <w:rPr>
      <w:rFonts w:ascii="Arial" w:hAnsi="Arial" w:eastAsia="Arial" w:cs="Arial"/>
      <w:sz w:val="40"/>
      <w:szCs w:val="40"/>
    </w:rPr>
  </w:style>
  <w:style w:type="paragraph" w:styleId="676">
    <w:name w:val="Heading 2"/>
    <w:basedOn w:val="852"/>
    <w:next w:val="852"/>
    <w:link w:val="6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link w:val="676"/>
    <w:uiPriority w:val="9"/>
    <w:rPr>
      <w:rFonts w:ascii="Arial" w:hAnsi="Arial" w:eastAsia="Arial" w:cs="Arial"/>
      <w:sz w:val="34"/>
    </w:rPr>
  </w:style>
  <w:style w:type="paragraph" w:styleId="678">
    <w:name w:val="Heading 3"/>
    <w:basedOn w:val="852"/>
    <w:next w:val="852"/>
    <w:link w:val="6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link w:val="678"/>
    <w:uiPriority w:val="9"/>
    <w:rPr>
      <w:rFonts w:ascii="Arial" w:hAnsi="Arial" w:eastAsia="Arial" w:cs="Arial"/>
      <w:sz w:val="30"/>
      <w:szCs w:val="30"/>
    </w:rPr>
  </w:style>
  <w:style w:type="paragraph" w:styleId="680">
    <w:name w:val="Heading 4"/>
    <w:basedOn w:val="852"/>
    <w:next w:val="852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link w:val="680"/>
    <w:uiPriority w:val="9"/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52"/>
    <w:next w:val="852"/>
    <w:link w:val="6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link w:val="682"/>
    <w:uiPriority w:val="9"/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52"/>
    <w:next w:val="852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link w:val="684"/>
    <w:uiPriority w:val="9"/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52"/>
    <w:next w:val="852"/>
    <w:link w:val="6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52"/>
    <w:next w:val="852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link w:val="688"/>
    <w:uiPriority w:val="9"/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52"/>
    <w:next w:val="852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852"/>
    <w:uiPriority w:val="34"/>
    <w:qFormat/>
    <w:pPr>
      <w:contextualSpacing/>
      <w:ind w:left="720"/>
    </w:pPr>
  </w:style>
  <w:style w:type="paragraph" w:styleId="693">
    <w:name w:val="No Spacing"/>
    <w:uiPriority w:val="1"/>
    <w:qFormat/>
    <w:pPr>
      <w:spacing w:before="0" w:after="0" w:line="240" w:lineRule="auto"/>
    </w:pPr>
  </w:style>
  <w:style w:type="paragraph" w:styleId="694">
    <w:name w:val="Title"/>
    <w:basedOn w:val="852"/>
    <w:next w:val="852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>
    <w:name w:val="Title Char"/>
    <w:link w:val="694"/>
    <w:uiPriority w:val="10"/>
    <w:rPr>
      <w:sz w:val="48"/>
      <w:szCs w:val="48"/>
    </w:rPr>
  </w:style>
  <w:style w:type="paragraph" w:styleId="696">
    <w:name w:val="Subtitle"/>
    <w:basedOn w:val="852"/>
    <w:next w:val="852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>
    <w:name w:val="Subtitle Char"/>
    <w:link w:val="696"/>
    <w:uiPriority w:val="11"/>
    <w:rPr>
      <w:sz w:val="24"/>
      <w:szCs w:val="24"/>
    </w:rPr>
  </w:style>
  <w:style w:type="paragraph" w:styleId="698">
    <w:name w:val="Quote"/>
    <w:basedOn w:val="852"/>
    <w:next w:val="852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basedOn w:val="852"/>
    <w:next w:val="852"/>
    <w:link w:val="7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paragraph" w:styleId="702">
    <w:name w:val="Header"/>
    <w:basedOn w:val="852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Header Char"/>
    <w:link w:val="702"/>
    <w:uiPriority w:val="99"/>
  </w:style>
  <w:style w:type="paragraph" w:styleId="704">
    <w:name w:val="Footer"/>
    <w:basedOn w:val="852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Footer Char"/>
    <w:link w:val="704"/>
    <w:uiPriority w:val="99"/>
  </w:style>
  <w:style w:type="paragraph" w:styleId="706">
    <w:name w:val="Caption"/>
    <w:basedOn w:val="852"/>
    <w:next w:val="852"/>
    <w:link w:val="70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704"/>
    <w:uiPriority w:val="99"/>
  </w:style>
  <w:style w:type="table" w:styleId="70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000ff" w:themeColor="hyperlink"/>
      <w:u w:val="single"/>
    </w:rPr>
  </w:style>
  <w:style w:type="paragraph" w:styleId="835">
    <w:name w:val="footnote text"/>
    <w:basedOn w:val="852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>
    <w:name w:val="Footnote Text Char"/>
    <w:link w:val="835"/>
    <w:uiPriority w:val="99"/>
    <w:rPr>
      <w:sz w:val="18"/>
    </w:rPr>
  </w:style>
  <w:style w:type="character" w:styleId="837">
    <w:name w:val="footnote reference"/>
    <w:uiPriority w:val="99"/>
    <w:unhideWhenUsed/>
    <w:rPr>
      <w:vertAlign w:val="superscript"/>
    </w:rPr>
  </w:style>
  <w:style w:type="paragraph" w:styleId="838">
    <w:name w:val="endnote text"/>
    <w:basedOn w:val="852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>
    <w:name w:val="Endnote Text Char"/>
    <w:link w:val="838"/>
    <w:uiPriority w:val="99"/>
    <w:rPr>
      <w:sz w:val="20"/>
    </w:rPr>
  </w:style>
  <w:style w:type="character" w:styleId="840">
    <w:name w:val="endnote reference"/>
    <w:uiPriority w:val="99"/>
    <w:semiHidden/>
    <w:unhideWhenUsed/>
    <w:rPr>
      <w:vertAlign w:val="superscript"/>
    </w:rPr>
  </w:style>
  <w:style w:type="paragraph" w:styleId="841">
    <w:name w:val="toc 1"/>
    <w:basedOn w:val="852"/>
    <w:next w:val="852"/>
    <w:uiPriority w:val="39"/>
    <w:unhideWhenUsed/>
    <w:pPr>
      <w:ind w:left="0" w:right="0" w:firstLine="0"/>
      <w:spacing w:after="57"/>
    </w:pPr>
  </w:style>
  <w:style w:type="paragraph" w:styleId="842">
    <w:name w:val="toc 2"/>
    <w:basedOn w:val="852"/>
    <w:next w:val="852"/>
    <w:uiPriority w:val="39"/>
    <w:unhideWhenUsed/>
    <w:pPr>
      <w:ind w:left="283" w:right="0" w:firstLine="0"/>
      <w:spacing w:after="57"/>
    </w:pPr>
  </w:style>
  <w:style w:type="paragraph" w:styleId="843">
    <w:name w:val="toc 3"/>
    <w:basedOn w:val="852"/>
    <w:next w:val="852"/>
    <w:uiPriority w:val="39"/>
    <w:unhideWhenUsed/>
    <w:pPr>
      <w:ind w:left="567" w:right="0" w:firstLine="0"/>
      <w:spacing w:after="57"/>
    </w:pPr>
  </w:style>
  <w:style w:type="paragraph" w:styleId="844">
    <w:name w:val="toc 4"/>
    <w:basedOn w:val="852"/>
    <w:next w:val="852"/>
    <w:uiPriority w:val="39"/>
    <w:unhideWhenUsed/>
    <w:pPr>
      <w:ind w:left="850" w:right="0" w:firstLine="0"/>
      <w:spacing w:after="57"/>
    </w:pPr>
  </w:style>
  <w:style w:type="paragraph" w:styleId="845">
    <w:name w:val="toc 5"/>
    <w:basedOn w:val="852"/>
    <w:next w:val="852"/>
    <w:uiPriority w:val="39"/>
    <w:unhideWhenUsed/>
    <w:pPr>
      <w:ind w:left="1134" w:right="0" w:firstLine="0"/>
      <w:spacing w:after="57"/>
    </w:pPr>
  </w:style>
  <w:style w:type="paragraph" w:styleId="846">
    <w:name w:val="toc 6"/>
    <w:basedOn w:val="852"/>
    <w:next w:val="852"/>
    <w:uiPriority w:val="39"/>
    <w:unhideWhenUsed/>
    <w:pPr>
      <w:ind w:left="1417" w:right="0" w:firstLine="0"/>
      <w:spacing w:after="57"/>
    </w:pPr>
  </w:style>
  <w:style w:type="paragraph" w:styleId="847">
    <w:name w:val="toc 7"/>
    <w:basedOn w:val="852"/>
    <w:next w:val="852"/>
    <w:uiPriority w:val="39"/>
    <w:unhideWhenUsed/>
    <w:pPr>
      <w:ind w:left="1701" w:right="0" w:firstLine="0"/>
      <w:spacing w:after="57"/>
    </w:pPr>
  </w:style>
  <w:style w:type="paragraph" w:styleId="848">
    <w:name w:val="toc 8"/>
    <w:basedOn w:val="852"/>
    <w:next w:val="852"/>
    <w:uiPriority w:val="39"/>
    <w:unhideWhenUsed/>
    <w:pPr>
      <w:ind w:left="1984" w:right="0" w:firstLine="0"/>
      <w:spacing w:after="57"/>
    </w:pPr>
  </w:style>
  <w:style w:type="paragraph" w:styleId="849">
    <w:name w:val="toc 9"/>
    <w:basedOn w:val="852"/>
    <w:next w:val="852"/>
    <w:uiPriority w:val="39"/>
    <w:unhideWhenUsed/>
    <w:pPr>
      <w:ind w:left="2268" w:right="0" w:firstLine="0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852"/>
    <w:next w:val="852"/>
    <w:uiPriority w:val="99"/>
    <w:unhideWhenUsed/>
    <w:pPr>
      <w:spacing w:after="0" w:afterAutospacing="0"/>
    </w:pPr>
  </w:style>
  <w:style w:type="paragraph" w:styleId="852" w:default="1">
    <w:name w:val="Normal"/>
    <w:next w:val="852"/>
    <w:link w:val="852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character" w:styleId="853">
    <w:name w:val="Основной шрифт абзаца"/>
    <w:next w:val="853"/>
    <w:link w:val="852"/>
    <w:uiPriority w:val="1"/>
    <w:unhideWhenUsed/>
  </w:style>
  <w:style w:type="table" w:styleId="854">
    <w:name w:val="Обычная таблица"/>
    <w:next w:val="854"/>
    <w:link w:val="852"/>
    <w:uiPriority w:val="99"/>
    <w:semiHidden/>
    <w:unhideWhenUsed/>
    <w:tblPr/>
  </w:style>
  <w:style w:type="numbering" w:styleId="855">
    <w:name w:val="Нет списка"/>
    <w:next w:val="855"/>
    <w:link w:val="852"/>
    <w:uiPriority w:val="99"/>
    <w:semiHidden/>
    <w:unhideWhenUsed/>
  </w:style>
  <w:style w:type="paragraph" w:styleId="856">
    <w:name w:val="Нижний колонтитул"/>
    <w:basedOn w:val="852"/>
    <w:next w:val="856"/>
    <w:link w:val="85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/>
      <w:sz w:val="24"/>
      <w:szCs w:val="24"/>
      <w:lang w:val="en-US" w:eastAsia="ru-RU"/>
    </w:rPr>
  </w:style>
  <w:style w:type="character" w:styleId="857">
    <w:name w:val="Нижний колонтитул Знак"/>
    <w:next w:val="857"/>
    <w:link w:val="856"/>
    <w:uiPriority w:val="99"/>
    <w:rPr>
      <w:rFonts w:ascii="Times New Roman" w:hAnsi="Times New Roman" w:eastAsia="Times New Roman"/>
      <w:sz w:val="24"/>
      <w:szCs w:val="24"/>
      <w:lang w:val="en-US"/>
    </w:rPr>
  </w:style>
  <w:style w:type="paragraph" w:styleId="858">
    <w:name w:val="Текст сноски"/>
    <w:basedOn w:val="852"/>
    <w:next w:val="858"/>
    <w:link w:val="859"/>
    <w:semiHidden/>
    <w:pPr>
      <w:spacing w:after="0" w:line="240" w:lineRule="auto"/>
    </w:pPr>
    <w:rPr>
      <w:rFonts w:ascii="Times New Roman" w:hAnsi="Times New Roman" w:eastAsia="Times New Roman"/>
      <w:sz w:val="20"/>
      <w:szCs w:val="20"/>
      <w:lang w:val="en-US" w:eastAsia="ru-RU"/>
    </w:rPr>
  </w:style>
  <w:style w:type="character" w:styleId="859">
    <w:name w:val="Текст сноски Знак"/>
    <w:next w:val="859"/>
    <w:link w:val="858"/>
    <w:semiHidden/>
    <w:rPr>
      <w:rFonts w:ascii="Times New Roman" w:hAnsi="Times New Roman" w:eastAsia="Times New Roman"/>
      <w:lang w:val="en-US"/>
    </w:rPr>
  </w:style>
  <w:style w:type="character" w:styleId="860">
    <w:name w:val="Знак сноски"/>
    <w:next w:val="860"/>
    <w:link w:val="852"/>
    <w:rPr>
      <w:vertAlign w:val="superscript"/>
    </w:rPr>
  </w:style>
  <w:style w:type="paragraph" w:styleId="861">
    <w:name w:val="Абзац списка"/>
    <w:basedOn w:val="852"/>
    <w:next w:val="861"/>
    <w:link w:val="852"/>
    <w:uiPriority w:val="34"/>
    <w:qFormat/>
    <w:pPr>
      <w:contextualSpacing/>
      <w:ind w:left="720"/>
      <w:spacing w:after="0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62">
    <w:name w:val="Основной текст 3"/>
    <w:basedOn w:val="852"/>
    <w:next w:val="862"/>
    <w:link w:val="863"/>
    <w:uiPriority w:val="99"/>
    <w:unhideWhenUsed/>
    <w:pPr>
      <w:spacing w:after="120" w:line="240" w:lineRule="auto"/>
    </w:pPr>
    <w:rPr>
      <w:rFonts w:ascii="Times New Roman" w:hAnsi="Times New Roman" w:eastAsia="Times New Roman"/>
      <w:sz w:val="16"/>
      <w:szCs w:val="16"/>
      <w:lang w:val="en-US" w:eastAsia="ru-RU"/>
    </w:rPr>
  </w:style>
  <w:style w:type="character" w:styleId="863">
    <w:name w:val="Основной текст 3 Знак"/>
    <w:next w:val="863"/>
    <w:link w:val="862"/>
    <w:uiPriority w:val="99"/>
    <w:rPr>
      <w:rFonts w:ascii="Times New Roman" w:hAnsi="Times New Roman" w:eastAsia="Times New Roman"/>
      <w:sz w:val="16"/>
      <w:szCs w:val="16"/>
      <w:lang w:val="en-US"/>
    </w:rPr>
  </w:style>
  <w:style w:type="character" w:styleId="864">
    <w:name w:val="Знак примечания"/>
    <w:next w:val="864"/>
    <w:link w:val="852"/>
    <w:uiPriority w:val="99"/>
    <w:semiHidden/>
    <w:unhideWhenUsed/>
    <w:rPr>
      <w:sz w:val="16"/>
      <w:szCs w:val="16"/>
    </w:rPr>
  </w:style>
  <w:style w:type="paragraph" w:styleId="865">
    <w:name w:val="Текст примечания"/>
    <w:basedOn w:val="852"/>
    <w:next w:val="865"/>
    <w:link w:val="866"/>
    <w:uiPriority w:val="99"/>
    <w:semiHidden/>
    <w:unhideWhenUsed/>
    <w:rPr>
      <w:sz w:val="20"/>
      <w:szCs w:val="20"/>
    </w:rPr>
  </w:style>
  <w:style w:type="character" w:styleId="866">
    <w:name w:val="Текст примечания Знак"/>
    <w:next w:val="866"/>
    <w:link w:val="865"/>
    <w:uiPriority w:val="99"/>
    <w:semiHidden/>
    <w:rPr>
      <w:lang w:eastAsia="en-US"/>
    </w:rPr>
  </w:style>
  <w:style w:type="paragraph" w:styleId="867">
    <w:name w:val="Тема примечания"/>
    <w:basedOn w:val="865"/>
    <w:next w:val="865"/>
    <w:link w:val="868"/>
    <w:uiPriority w:val="99"/>
    <w:semiHidden/>
    <w:unhideWhenUsed/>
    <w:rPr>
      <w:b/>
      <w:bCs/>
    </w:rPr>
  </w:style>
  <w:style w:type="character" w:styleId="868">
    <w:name w:val="Тема примечания Знак"/>
    <w:next w:val="868"/>
    <w:link w:val="867"/>
    <w:uiPriority w:val="99"/>
    <w:semiHidden/>
    <w:rPr>
      <w:b/>
      <w:bCs/>
      <w:lang w:eastAsia="en-US"/>
    </w:rPr>
  </w:style>
  <w:style w:type="paragraph" w:styleId="869">
    <w:name w:val="Текст выноски"/>
    <w:basedOn w:val="852"/>
    <w:next w:val="869"/>
    <w:link w:val="87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0">
    <w:name w:val="Текст выноски Знак"/>
    <w:next w:val="870"/>
    <w:link w:val="869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871">
    <w:name w:val="Верхний колонтитул"/>
    <w:basedOn w:val="852"/>
    <w:next w:val="871"/>
    <w:link w:val="87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2">
    <w:name w:val="Верхний колонтитул Знак"/>
    <w:next w:val="872"/>
    <w:link w:val="871"/>
    <w:uiPriority w:val="99"/>
    <w:rPr>
      <w:sz w:val="22"/>
      <w:szCs w:val="22"/>
      <w:lang w:eastAsia="en-US"/>
    </w:rPr>
  </w:style>
  <w:style w:type="character" w:styleId="873">
    <w:name w:val="Гиперссылка"/>
    <w:next w:val="873"/>
    <w:link w:val="852"/>
    <w:uiPriority w:val="99"/>
    <w:unhideWhenUsed/>
    <w:rPr>
      <w:color w:val="0000ff"/>
      <w:u w:val="single"/>
    </w:rPr>
  </w:style>
  <w:style w:type="character" w:styleId="874" w:default="1">
    <w:name w:val="Default Paragraph Font"/>
    <w:uiPriority w:val="1"/>
    <w:semiHidden/>
    <w:unhideWhenUsed/>
  </w:style>
  <w:style w:type="numbering" w:styleId="875" w:default="1">
    <w:name w:val="No List"/>
    <w:uiPriority w:val="99"/>
    <w:semiHidden/>
    <w:unhideWhenUsed/>
  </w:style>
  <w:style w:type="table" w:styleId="87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OJSC AgriCulturalBank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 Артем Владимирович</dc:creator>
  <cp:lastModifiedBy>brevda-aa</cp:lastModifiedBy>
  <cp:revision>6</cp:revision>
  <dcterms:created xsi:type="dcterms:W3CDTF">2023-11-20T13:33:00Z</dcterms:created>
  <dcterms:modified xsi:type="dcterms:W3CDTF">2025-09-16T07:27:49Z</dcterms:modified>
  <cp:version>1048576</cp:version>
</cp:coreProperties>
</file>